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Confidentiality of account information</w:t>
      </w:r>
    </w:p>
    <w:p>
      <w:pPr>
        <w:jc w:val="both"/>
        <w:spacing w:before="100" w:after="0"/>
        <w:ind w:start="360"/>
        <w:ind w:firstLine="360"/>
      </w:pPr>
      <w:r>
        <w:rPr>
          <w:b/>
        </w:rPr>
        <w:t>1</w:t>
        <w:t xml:space="preserve">.  </w:t>
      </w:r>
      <w:r>
        <w:rPr>
          <w:b/>
        </w:rPr>
        <w:t xml:space="preserve">Individual account information.</w:t>
        <w:t xml:space="preserve"> </w:t>
      </w:r>
      <w:r>
        <w:t xml:space="preserve"> </w:t>
      </w:r>
      <w:r>
        <w:t xml:space="preserve">Individual account information for accounts under the program, including, but not limited to, names, residential addresses, e-mail addresses, telephone numbers, personal identification information, amounts contributed and earnings on amounts contributed, is confidential and must be maintained as confidential except to the extent necessary to administer the program in a manner consistent with this chapter, the tax laws of this State and the Internal Revenue Code or unless the person who provides the information or is the subject of the information expressly agrees in writing that the information may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Restriction on use of personal information.</w:t>
        <w:t xml:space="preserve"> </w:t>
      </w:r>
      <w:r>
        <w:t xml:space="preserve"> </w:t>
      </w:r>
      <w:r>
        <w:t xml:space="preserve">An individual or organization that has access to personal information of participants solely because of its contracts or agreements with the board to provide services or support to the program, including plan administration, may not use that information to market its products or services not associated with the program to participants unless the participant affirmatively consents to receive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Confidentiality of account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Confidentiality of account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 CONFIDENTIALITY OF ACCOUNT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