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17701-B</w:t>
        <w:t xml:space="preserve">.  </w:t>
      </w:r>
      <w:r>
        <w:rPr>
          <w:b/>
        </w:rPr>
        <w:t xml:space="preserve">Member contributions on and after July 1, 1993</w:t>
      </w:r>
    </w:p>
    <w:p>
      <w:pPr>
        <w:jc w:val="both"/>
        <w:spacing w:before="100" w:after="100"/>
        <w:ind w:start="360"/>
        <w:ind w:firstLine="360"/>
      </w:pPr>
      <w:r>
        <w:rPr/>
      </w:r>
      <w:r>
        <w:rPr/>
      </w:r>
      <w:r>
        <w:t xml:space="preserve">Notwithstanding </w:t>
      </w:r>
      <w:r>
        <w:t>sections 17701</w:t>
      </w:r>
      <w:r>
        <w:t xml:space="preserve"> and </w:t>
      </w:r>
      <w:r>
        <w:t>17701‑A</w:t>
      </w:r>
      <w:r>
        <w:t xml:space="preserve">, on and after July 1, 1993 all members shall contribute to the State Employee and Teacher Retirement Program or have pick-up contributions made at a rate of 7.65% of earnable compensation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2007, c. 491, §104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§L28 (NEW). PL 2007, c. 491, §104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§17701-B. Member contributions on and after July 1, 1993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§17701-B. Member contributions on and after July 1, 1993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§17701-B. MEMBER CONTRIBUTIONS ON AND AFTER JULY 1, 1993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