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§17851-B. SPECIAL PLAN FOR FIRE MARSHAL INVESTIGATORS AND FIRE MARSHAL SERGEANTS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