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17903</w:t>
        <w:t xml:space="preserve">.  </w:t>
      </w:r>
      <w:r>
        <w:rPr>
          <w:b/>
        </w:rPr>
        <w:t xml:space="preserve">Examination or tests</w:t>
      </w:r>
    </w:p>
    <w:p>
      <w:pPr>
        <w:jc w:val="both"/>
        <w:spacing w:before="100" w:after="100"/>
        <w:ind w:start="360"/>
        <w:ind w:firstLine="360"/>
      </w:pPr>
      <w:r>
        <w:rPr/>
      </w:r>
      <w:r>
        <w:rPr/>
      </w:r>
      <w:r>
        <w:t xml:space="preserve">The examination or tests to determine whether a member is disabled under </w:t>
      </w:r>
      <w:r>
        <w:t>section 17901</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Agreed upon medical provider.</w:t>
        <w:t xml:space="preserve"> </w:t>
      </w:r>
      <w:r>
        <w:t xml:space="preserve"> </w:t>
      </w:r>
      <w:r>
        <w:t xml:space="preserve">The examination or tests must be conducted by a qualified medical provider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§23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 or tests shall be conducted at a place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shall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§23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§17903. Examination or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§17903. Examination or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§17903. EXAMINATION OR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