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§15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so long as a person is disabled, except that:</w:t>
      </w:r>
    </w:p>
    <w:p>
      <w:pPr>
        <w:jc w:val="both"/>
        <w:spacing w:before="100" w:after="0"/>
        <w:ind w:start="720"/>
      </w:pPr>
      <w:r>
        <w:rPr/>
        <w:t>A</w:t>
        <w:t xml:space="preserve">.  </w:t>
      </w:r>
      <w:r>
        <w:rPr/>
      </w:r>
      <w:r>
        <w:t xml:space="preserve">The disability retirement benefit ceases and eligibility for a service retirement benefit begins: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beneficiary's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§6 (RPR).]</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17806</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17903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§1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17806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256, §17 (AMD).]</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§§15-18 (AMD). PL 1991, c. 887, §6 (AMD). PL 1997, c. 384, §6 (AMD). PL 2003, c. 675, §1 (AMD). PL 2021, c. 548, §45 (REV). RR 2023, c. 2, Pt. B, §125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§17907.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§17907.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§17907.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