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17806</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887, §9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9,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When the service retirement benefit of a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§9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17926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17806</w:t>
      </w:r>
      <w:r>
        <w:t xml:space="preserve">.  The disability retirement benefit continues if the person can effectively demonstrate to the chief executive officer that the person is actively seeking work.  For the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section 17806.</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§9 (AMD). PL 1995, c. 643, §15 (AMD). PL 1997, c. 384, §9 (AMD). PL 2003, c. 675, §2 (AMD). PL 2021, c. 277, §25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§17929.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§17929.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§17929.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