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Chief Procurement Officer of the Office of Procurement Services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2023, c. 516, Pt. B, §16 (AMD).]</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§16 (AMD).]</w:t>
      </w:r>
    </w:p>
    <w:p>
      <w:pPr>
        <w:jc w:val="both"/>
        <w:spacing w:before="100" w:after="0"/>
        <w:ind w:start="360"/>
        <w:ind w:firstLine="360"/>
      </w:pPr>
      <w:r>
        <w:rPr>
          <w:b/>
        </w:rPr>
        <w:t>2</w:t>
        <w:t xml:space="preserve">.  </w:t>
      </w:r>
      <w:r>
        <w:rPr>
          <w:b/>
        </w:rPr>
        <w:t xml:space="preserve">Chair.</w:t>
        <w:t xml:space="preserve"> </w:t>
      </w:r>
      <w:r>
        <w:t xml:space="preserve"> </w:t>
      </w:r>
      <w:r>
        <w:t xml:space="preserve">The Chief Procurement Officer of the Office of Procurement Services within the Department of Administrative and Financial Services or the officer's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§17 (AMD).]</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PL 2023, c. 516, Pt. B,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§1824-B. STATE PROCUREMENT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