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1825-I</w:t>
        <w:t xml:space="preserve">.  </w:t>
      </w:r>
      <w:r>
        <w:rPr>
          <w:b/>
        </w:rPr>
        <w:t xml:space="preserve">Consultants</w:t>
      </w:r>
    </w:p>
    <w:p>
      <w:pPr>
        <w:jc w:val="both"/>
        <w:spacing w:before="100" w:after="100"/>
        <w:ind w:start="360"/>
        <w:ind w:firstLine="360"/>
      </w:pPr>
      <w:r>
        <w:rPr/>
      </w:r>
      <w:r>
        <w:rPr/>
      </w:r>
      <w:r>
        <w:t xml:space="preserve">While under contract or working pursuant to a grant with the State, a consultant may use state facilities and state property only for the project or projects to which a contract or grant applies.</w:t>
      </w:r>
      <w:r>
        <w:t xml:space="preserve">  </w:t>
      </w:r>
      <w:r xmlns:wp="http://schemas.openxmlformats.org/drawingml/2010/wordprocessingDrawing" xmlns:w15="http://schemas.microsoft.com/office/word/2012/wordml">
        <w:rPr>
          <w:rFonts w:ascii="Arial" w:hAnsi="Arial" w:cs="Arial"/>
          <w:sz w:val="22"/>
          <w:szCs w:val="22"/>
        </w:rPr>
        <w:t xml:space="preserve">[PL 2015, c. 179,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 §1 (NEW). PL 2015,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§1825-I. Consultants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§1825-I. Consultants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§1825-I. CONSULTANTS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