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or if an employee of a district that withdraws from participation under </w:t>
      </w:r>
      <w:r>
        <w:t>section 18203</w:t>
      </w:r>
      <w:r>
        <w:t xml:space="preserve"> wishes to have accumulated contributions refunded, the member or employee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§218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§9 (AMD).]</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§21 (NEW). PL 2007, c. 491, §218 (AMD). PL 2007, c. 695, Pt. A, §9 (AMD). PL 2011, c. 449,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§18306-A.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§18306-A.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