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parent, child, sibling, sibling of a parent or that sibling's spouse, sibling of a grandparent or that sibling's spouse, first cousin, child of a sibling, spouse, grandparent, grandchild, parent-in-law, child-in-law, sibling-in-law, stepparent, stepchild, stepsibling or half sibling, and is deemed to include the betrothed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§6 (COR).]</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 (COR).]</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the executive employee's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 (COR).]</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 (COR).]</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RR 2023, c. 2, Pt. B, §§6,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 FINANCIAL DISCLOSURE BY EXECUTIVE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