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Each political subdivision required to make payments under paragraph A is authorized, in consideration of the employee's retention in, or entry upon, employment after December 31, 1986, to impose upon each of its employees, as to services that are covered by an approved plan, a contribution with respect to the employee's wages, as defined in section 19002, not exceeding the amount of tax that would be imposed by section 1400 of the Federal Insurance Contributions Act if those services constituted employment within the meaning of that Act, and to deduct the amount of the contribution from the employee's wages as and when paid. Contributions so collected must be paid into the Contribution Fund in partial discharge of the liability of the political subdivision or instrumentality under paragraph A. Failure to deduct a contribution does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[RR 2023, c. 2, Pt. B, §161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§161 (COR).]</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RR 2023, c. 2, Pt. B, §161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§19004. COVERAGE OF EMPLOYEES OF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