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§20054. INTEGRATED TREATMENT AND RECOVERY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