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Report</w:t>
      </w:r>
    </w:p>
    <w:p>
      <w:pPr>
        <w:jc w:val="both"/>
        <w:spacing w:before="100" w:after="100"/>
        <w:ind w:start="360"/>
        <w:ind w:firstLine="360"/>
      </w:pPr>
      <w:r>
        <w:rPr/>
      </w:r>
      <w:r>
        <w:rPr/>
      </w:r>
      <w:r>
        <w:t xml:space="preserve">The commission shall report biennially to the Joint Standing Committee of the Legislature which is assigned jurisdiction over the subject of State Government facts and recommendations relating to the work and needs of the commission. The report shall list the construction projects initiated, completed and proposed during the next biennium in the Capitol Area since the last report. The commission shall recommend such revisions of the plan as from time to time become necessary or desirable for the orderly development of the Capitol Area.</w:t>
      </w:r>
      <w:r>
        <w:t xml:space="preserve">  </w:t>
      </w:r>
      <w:r xmlns:wp="http://schemas.openxmlformats.org/drawingml/2010/wordprocessingDrawing" xmlns:w15="http://schemas.microsoft.com/office/word/2012/wordml">
        <w:rPr>
          <w:rFonts w:ascii="Arial" w:hAnsi="Arial" w:cs="Arial"/>
          <w:sz w:val="22"/>
          <w:szCs w:val="22"/>
        </w:rPr>
        <w:t xml:space="preserve">[PL 1979,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§§5-A (AMD). PL 1979, c. 598,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