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Discontinuation of duplicate reports</w:t>
      </w:r>
    </w:p>
    <w:p>
      <w:pPr>
        <w:jc w:val="both"/>
        <w:spacing w:before="100" w:after="100"/>
        <w:ind w:start="360"/>
        <w:ind w:firstLine="360"/>
      </w:pPr>
      <w:r>
        <w:rPr/>
      </w:r>
      <w:r>
        <w:rPr/>
      </w:r>
      <w:r>
        <w:t xml:space="preserve">Notwithstanding any other provision of law, the Governor may discontinue the publication of any other annual or biennial report that duplicates the report material provided for in section 43, except for reports of the constitutional officers elected by the Legislature, and reports of the legislative and judicial branches of government, the University of Maine System and the Maine Maritime Academy.  The Governor may order the publication of an expanded departmental report, in standard format, in a limited quantity for record purposes.</w:t>
      </w:r>
      <w:r>
        <w:t xml:space="preserve">  </w:t>
      </w:r>
      <w:r xmlns:wp="http://schemas.openxmlformats.org/drawingml/2010/wordprocessingDrawing" xmlns:w15="http://schemas.microsoft.com/office/word/2012/wordml">
        <w:rPr>
          <w:rFonts w:ascii="Arial" w:hAnsi="Arial" w:cs="Arial"/>
          <w:sz w:val="22"/>
          <w:szCs w:val="22"/>
        </w:rPr>
        <w:t xml:space="preserve">[RR 2023, c. 2, Pt. B, §10 (COR).]</w:t>
      </w:r>
    </w:p>
    <w:p>
      <w:pPr>
        <w:jc w:val="both"/>
        <w:spacing w:before="100" w:after="100"/>
        <w:ind w:start="360"/>
        <w:ind w:firstLine="360"/>
      </w:pPr>
      <w:r>
        <w:rPr/>
      </w:r>
      <w:r>
        <w:rPr/>
      </w:r>
      <w:r>
        <w:t xml:space="preserve">Notwithstanding any other provision of law, every annual or biennial report required by statute to be made by any agency other than constitutional officers elected by the Legislature, the legislative and judicial branches of government, the University of Maine System and the Maine Maritime Academy, to the Governor and the Legislature shall be made by inclusion of that report in the Maine State Government Annual Report. The Governor may authorize the publication of special expanded department reports in a limited quantity when justified.</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PL 1975, c. 436, §4 (AMD). PL 1977, c. 370 (AMD). PL 1985, c. 779, §9 (AMD). RR 2023, c. 2,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Discontinuation of duplicate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Discontinuation of duplicate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 DISCONTINUATION OF DUPLICATE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