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must be appointed for terms of 5 years each, except that of those first appointed, the Governor shall designate one whose term is only one year, one whose term is only 2 years, one whose term is only 3 years and one whose term is only 4 years.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w:pPr>
        <w:jc w:val="both"/>
        <w:spacing w:before="100" w:after="100"/>
        <w:ind w:start="360"/>
        <w:ind w:firstLine="360"/>
      </w:pPr>
      <w:r>
        <w:rPr/>
      </w:r>
      <w:r>
        <w:rPr/>
      </w:r>
      <w:r>
        <w:t xml:space="preserve">An individual appointed to fill a vacancy occurring otherwise than by expiration of term must be appointed only for the unexpired term of the member whom the individual succeeds.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RR 2023,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§4562.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