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§4577. Compensation history inquiry as evidence of unlawful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§4577. COMPENSATION HISTORY INQUIRY AS EVIDENCE OF UNLAWFUL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