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that department or commission.  The policy must include, but not be limited to, a definition of the use of state-owned motor vehicles that constitutes use in the conduct of state business and that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[RR 2023, c. 2, Pt. B, §1 (COR).]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RR 2023, c. 2,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 STATE-OWNED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