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Training for job opportunities</w:t>
      </w:r>
    </w:p>
    <w:p>
      <w:pPr>
        <w:jc w:val="both"/>
        <w:spacing w:before="100" w:after="100"/>
        <w:ind w:start="360"/>
        <w:ind w:firstLine="360"/>
      </w:pPr>
      <w:r>
        <w:rPr/>
      </w:r>
      <w:r>
        <w:rPr/>
      </w:r>
      <w:r>
        <w:t xml:space="preserve">All educational and vocational-guidance counseling programs and all apprenticeship and on-the-job training programs conducted, supervised or funded by the State or state-related agency must be conducted to encourage the fullest development of interest and aptitudes without regard to actual or perceived race, color, sex, sexual orientation, gender identity, physical or mental disability, religion, ancestry or national origin, age or familial status, unless sex or age relates to a bona fide job requirement.  In the event that any such programs are conducted in conjunction with private employers or private educational institutions, the supervising or contracting department or agency shall ensure that the provisions of this chapter are complied with fully by such private employer or private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553,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RR 1993, c. 1, §7 (COR). PL 2021, c. 348, §7 (AMD). PL 2021, c. 553,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 Training for job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Training for job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§786. TRAINING FOR JOB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