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Duties</w:t>
      </w:r>
    </w:p>
    <w:p>
      <w:pPr>
        <w:jc w:val="both"/>
        <w:spacing w:before="100" w:after="100"/>
        <w:ind w:start="360"/>
        <w:ind w:firstLine="360"/>
      </w:pPr>
      <w:r>
        <w:rPr/>
      </w:r>
      <w:r>
        <w:rPr/>
      </w:r>
      <w:r>
        <w:t xml:space="preserve">The commissioner shall administer the laws relating to aeronautics and adopt and administer such rules concerning aeronautical activities not inconsistent with federal regulations covering aeronautics as may be necessary to promote public safety and the best interests of aviation in the State. The commissioner shall advance the interest of aeronautics within the State by studying aviation needs, assisting and advising authorized representatives of political subdivisions within the State in the development of aeronautics and by cooperating and coordinating with such other agencies whether local, state, regional or federal, as may be working toward the development of aeronautics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shall supervise and control all state airports and shall adopt and administer such rules concerning the use of the airports as considered necessary. The commissioner may lease facilities at state-owned airports on such terms as the commissioner may direct.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has the care and supervision of such aircraft as may be owned by the State for the use of its departments and agencies and shall provide adequate hangar facilities and be responsible for the maintenance, repair, upkeep and operation of that aircraft. The commissioner shall charge these departments and agencies requisitioning aircraft amounts sufficient to reimburse the department of the full operating cost of these aircraft.  All fees collected must be credited to the General Fund. Aircraft owned by the Department of Inland Fisheries and Wildlife, the Department of Marine Resources, the Department of Agriculture, Conservation and Forestry and the Department of Public Safety are exempt and excluded from this paragraph.</w:t>
      </w:r>
      <w:r>
        <w:t xml:space="preserve">  </w:t>
      </w:r>
      <w:r xmlns:wp="http://schemas.openxmlformats.org/drawingml/2010/wordprocessingDrawing" xmlns:w15="http://schemas.microsoft.com/office/word/2012/wordml">
        <w:rPr>
          <w:rFonts w:ascii="Arial" w:hAnsi="Arial" w:cs="Arial"/>
          <w:sz w:val="22"/>
          <w:szCs w:val="22"/>
        </w:rPr>
        <w:t xml:space="preserve">[PL 1999, c. 131, §6 (AMD); PL 2011, c. 657, Pt. W, §5 (REV).]</w:t>
      </w:r>
    </w:p>
    <w:p>
      <w:pPr>
        <w:jc w:val="both"/>
        <w:spacing w:before="100" w:after="100"/>
        <w:ind w:start="360"/>
        <w:ind w:firstLine="360"/>
      </w:pPr>
      <w:r>
        <w:rPr/>
      </w:r>
      <w:r>
        <w:rPr/>
      </w:r>
      <w:r>
        <w:t xml:space="preserve">The commissioner shall exercise general supervision, control and direction on behalf of the State over all matters pertaining to the location, construction and maintenance of all air navigation facilities built or maintained, either in whole or in part, with money appropriated from the State Treasury.  The commissioner may acquire land, easements and rights-of-way for the establishment of air navigation facilities. The land, easements and rights-of-way may be acquired by purchase, grant or condemnation in the manner hereinafter provided by </w:t>
      </w:r>
      <w:r>
        <w:t>Title 23, sections 154</w:t>
      </w:r>
      <w:r>
        <w:t xml:space="preserve"> to </w:t>
      </w:r>
      <w:r>
        <w:t>161</w:t>
      </w:r>
      <w:r>
        <w:t xml:space="preserve">, and property so acquired may be conveyed to a town for use in connection with the establishment of air navigation facilities for such a consideration as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§§13,14 (AMD). PL 1973, c. 460, §18 (AMD). PL 1973, c. 513, §22 (AMD). PL 1975, c. 771, §§93,94 (AMD). PL 1977, c. 678, §26 (RPR). PL 1981, c. 456, §A22 (AMD). PL 1995, c. 504, §§B4,10 (AMD). PL 1999, c. 131, §6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