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 Aeronautical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Aeronautical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 AERONAUTICAL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