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745</w:t>
      </w:r>
    </w:p>
    <w:p>
      <w:pPr>
        <w:jc w:val="center"/>
        <w:ind w:start="360"/>
        <w:spacing w:before="300" w:after="300"/>
      </w:pPr>
      <w:r>
        <w:rPr>
          <w:b/>
        </w:rPr>
        <w:t xml:space="preserve">SALE OF DOGS AND CATS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745. SALE OF DOGS AND CATS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745. SALE OF DOGS AND CATS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745. SALE OF DOGS AND CATS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