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 VIOLATIONS RELATING TO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