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Responsibilities of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Responsibilities of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§1052. RESPONSIBILITIES OF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