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Violations</w:t>
      </w:r>
    </w:p>
    <w:p>
      <w:pPr>
        <w:jc w:val="both"/>
        <w:spacing w:before="100" w:after="100"/>
        <w:ind w:start="360"/>
        <w:ind w:firstLine="360"/>
      </w:pPr>
      <w:r>
        <w:rPr/>
      </w:r>
      <w:r>
        <w:rPr/>
      </w:r>
      <w:r>
        <w:t xml:space="preserve">Any person who violates any of the provisions of this chapter or any rule promulgated under this chapter is subject to a civil penalty not to exceed $500.</w:t>
      </w:r>
      <w:r>
        <w:t xml:space="preserve">  </w:t>
      </w:r>
      <w:r xmlns:wp="http://schemas.openxmlformats.org/drawingml/2010/wordprocessingDrawing" xmlns:w15="http://schemas.microsoft.com/office/word/2012/wordml">
        <w:rPr>
          <w:rFonts w:ascii="Arial" w:hAnsi="Arial" w:cs="Arial"/>
          <w:sz w:val="22"/>
          <w:szCs w:val="22"/>
        </w:rPr>
        <w:t xml:space="preserve">[PL 1983,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