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§219-B. Fund To Address Food Insecurity and Provide Nutrition Incentives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§219-B. Fund To Address Food Insecurity and Provide Nutrition Incentives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§219-B. FUND TO ADDRESS FOOD INSECURITY AND PROVIDE NUTRITION INCENTIVES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