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2910-A</w:t>
        <w:t xml:space="preserve">.  </w:t>
      </w:r>
      <w:r>
        <w:rPr>
          <w:b/>
        </w:rPr>
        <w:t xml:space="preserve">Injunctions by commissioner</w:t>
      </w:r>
    </w:p>
    <w:p>
      <w:pPr>
        <w:jc w:val="both"/>
        <w:spacing w:before="100" w:after="100"/>
        <w:ind w:start="360"/>
        <w:ind w:firstLine="360"/>
      </w:pPr>
      <w:r>
        <w:rPr/>
      </w:r>
      <w:r>
        <w:rPr/>
      </w:r>
      <w:r>
        <w:t xml:space="preserve">In addition to any other remedy for the enforcement of </w:t>
      </w:r>
      <w:r>
        <w:t>sections 2901‑C</w:t>
      </w:r>
      <w:r>
        <w:t xml:space="preserve"> to </w:t>
      </w:r>
      <w:r>
        <w:t>2903‑B</w:t>
      </w:r>
      <w:r>
        <w:t xml:space="preserve"> or a rule, order or decision by the commissioner adopted or issued pursuant to this chapter, the commissioner is authorized to apply to the Superior Court for a preliminary or permanent injunction restraining any person from violating any provision of </w:t>
      </w:r>
      <w:r>
        <w:t>sections 2901‑C</w:t>
      </w:r>
      <w:r>
        <w:t xml:space="preserve"> to </w:t>
      </w:r>
      <w:r>
        <w:t>2903‑B</w:t>
      </w:r>
      <w:r>
        <w:t xml:space="preserve"> or any rule, order or decision of the commissioner adopted or issued pursuant to this chapter.  The Superior Court has jurisdiction upon hearing and for good cause shown to grant a preliminary or permanent injunction.  In case of violation of an injunction issued under this section, the court may cite the person for contempt of court.  The existence of either civil or criminal remedies is not a defense in this proceeding.  The commissioner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270,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§A13 (NEW). PL 2005, c. 270,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§2910-A. Injunctions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§2910-A. Injunctions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§2910-A. INJUNCTIONS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