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§3983. Possession of animals unlawfully detained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Possession of animals unlawfully detained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§3983. POSSESSION OF ANIMALS UNLAWFULLY DETAINED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