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w:t>
        <w:t xml:space="preserve">.  </w:t>
      </w:r>
      <w:r>
        <w:rPr>
          <w:b/>
        </w:rPr>
        <w:t xml:space="preserve">Distribution</w:t>
      </w:r>
    </w:p>
    <w:p>
      <w:pPr>
        <w:jc w:val="both"/>
        <w:spacing w:before="100" w:after="100"/>
        <w:ind w:start="360"/>
        <w:ind w:firstLine="360"/>
      </w:pPr>
      <w:r>
        <w:rPr/>
      </w:r>
      <w:r>
        <w:rPr/>
      </w:r>
      <w:r>
        <w:t xml:space="preserve">The commissioner shall develop suitable means to distribute information compiled under </w:t>
      </w:r>
      <w:r>
        <w:t>section 412</w:t>
      </w:r>
      <w:r>
        <w:t xml:space="preserve"> to all Maine farmers. If the commissioner considers the cost of distributing any research or instructional publication prohibitive, the commissioner shall, by whatever means appropriate, notify farmers of the availability of the information. Distribution may be accomplished by means currently within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[RR 2021, c. 1, Pt. B, §63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 PL 1979, c. 731, §19 (AMD). PL 2011, c. 657, Pt. W, §5 (REV). RR 2021, c. 1, Pt. B, §63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§413.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