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w:t>
        <w:t xml:space="preserve">.  </w:t>
      </w:r>
      <w:r>
        <w:rPr>
          <w:b/>
        </w:rPr>
        <w:t xml:space="preserve">Inspections</w:t>
      </w:r>
    </w:p>
    <w:p>
      <w:pPr>
        <w:jc w:val="both"/>
        <w:spacing w:before="100" w:after="100"/>
        <w:ind w:start="360"/>
        <w:ind w:firstLine="360"/>
      </w:pPr>
      <w:r>
        <w:rPr/>
      </w:r>
      <w:r>
        <w:rPr/>
      </w:r>
      <w:r>
        <w:t xml:space="preserve">The commissioner or the commissioner's duly authorized agents may inspect any fruits, vegetables, poultry, eggs, farm products, livestock or other commodities that are marked, branded or labeled in accordance with official grades or standards established and adopted by the commissioner for the purpose of determining and certifying the quality and condition thereof and other material facts relative thereto. Certificates issued in pursuance of that inspection and executed by the inspector must state the date and place of inspection, the grade, condition and approximate quality of the fruits, vegetables, poultry, eggs, farm products, livestock or other commodities inspected and such other pertinent facts as the commissioner may require. Such a certificate relative to the condition or quality of the farm products is prima facie evidence in all courts of the State of the facts required to be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2003, c. 386,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§A17 (RPR). PL 2003, c. 386,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§446.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