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Licensing required</w:t>
      </w:r>
    </w:p>
    <w:p>
      <w:pPr>
        <w:jc w:val="both"/>
        <w:spacing w:before="100" w:after="100"/>
        <w:ind w:start="360"/>
        <w:ind w:firstLine="360"/>
      </w:pPr>
      <w:r>
        <w:rPr/>
      </w:r>
      <w:r>
        <w:rPr/>
      </w:r>
      <w:r>
        <w:t xml:space="preserve">A person may not act as agent, broker, dealer or processor unless duly licensed as provided in this subchapter.  Before acting as a dealer, processor, broker or agent, a person shall file an application with the commissioner for a license to transact the business of a dealer, processor, broker or agent and the application must be accompanied by the license fee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w:pPr>
        <w:jc w:val="both"/>
        <w:spacing w:before="100" w:after="100"/>
        <w:ind w:start="360"/>
        <w:ind w:firstLine="360"/>
      </w:pPr>
      <w:r>
        <w:rPr/>
      </w:r>
      <w:r>
        <w:rPr/>
      </w:r>
      <w:r>
        <w:t xml:space="preserve">A person may not buy, solicit or negotiate the sale of any licensed commodity in this State as a representative of any agent, broker, dealer or processor unless that person has been authorized as a representative by a licensee in writing, and a copy of the authorization is filed with the commissioner, except when the person conducts business in the office of the licensee.  A licensee shall notify the commissioner in writing immediately upon terminating the authorization for a person to act as that licensee's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Licensing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Licensing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§454. LICENSING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