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Complaints; investigation;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Complaints; investigation;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§456. COMPLAINTS; INVESTIGATION;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