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Deputies</w:t>
      </w:r>
    </w:p>
    <w:p>
      <w:pPr>
        <w:jc w:val="both"/>
        <w:spacing w:before="100" w:after="100"/>
        <w:ind w:start="360"/>
        <w:ind w:firstLine="360"/>
      </w:pPr>
      <w:r>
        <w:rPr/>
      </w:r>
      <w:r>
        <w:rPr/>
      </w:r>
      <w:r>
        <w:t xml:space="preserve">The commissioner may appoint and fix the compensation of those deputies that in the commissioner's judgment are required to assist and enable the commissioner to carry out all laws, the execution of which is entrusted to the commissioner. These deputies hold office during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643, Pt. NN,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§97 (AMD). PL 1979, c. 731, §9 (AMD). PL 1995, c. 502, §C4 (AMD). PL 1997, c. 643, §NN3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 Deputies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Deputies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 DEPUTIES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