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§539. Sale, exchange or transport of "controlled atmosphere"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Sale, exchange or transport of "controlled atmosphere"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§539. SALE, EXCHANGE OR TRANSPORT OF "CONTROLLED ATMOSPHERE"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