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Judicial action after "stop sale, use or removal"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Judicial action after "stop sale, use or removal"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§613. JUDICIAL ACTION AFTER "STOP SALE, USE OR REMOVAL"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