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License to conduct fantasy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License to conduct fantasy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§1103. LICENSE TO CONDUCT FANTASY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