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§279-C. OFFICIALS, JUDGES AND STARTERS;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