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279-D</w:t>
        <w:t xml:space="preserve">.  </w:t>
      </w:r>
      <w:r>
        <w:rPr>
          <w:b/>
        </w:rPr>
        <w:t xml:space="preserve">Insurance</w:t>
      </w:r>
    </w:p>
    <w:p>
      <w:pPr>
        <w:jc w:val="both"/>
        <w:spacing w:before="100" w:after="100"/>
        <w:ind w:start="360"/>
        <w:ind w:firstLine="360"/>
      </w:pPr>
      <w:r>
        <w:rPr/>
      </w:r>
      <w:r>
        <w:rPr/>
      </w:r>
      <w:r>
        <w:t xml:space="preserve">Beginning January 1, 2004, applicants for an owner's license must provide proof of liability insurance on horses owned by the applicant in an amount not less than $300,000.  Copies of that liability insurance coverage must accompany the application for an owner's license.</w:t>
      </w:r>
      <w:r>
        <w:t xml:space="preserve">  </w:t>
      </w:r>
      <w:r xmlns:wp="http://schemas.openxmlformats.org/drawingml/2010/wordprocessingDrawing" xmlns:w15="http://schemas.microsoft.com/office/word/2012/wordml">
        <w:rPr>
          <w:rFonts w:ascii="Arial" w:hAnsi="Arial" w:cs="Arial"/>
          <w:sz w:val="22"/>
          <w:szCs w:val="22"/>
        </w:rPr>
        <w:t xml:space="preserve">[PL 2003, c. 401,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