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A loan broker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(AMD).]</w:t>
      </w:r>
    </w:p>
    <w:p>
      <w:pPr>
        <w:jc w:val="both"/>
        <w:spacing w:before="100" w:after="0"/>
        <w:ind w:start="360"/>
        <w:ind w:firstLine="360"/>
      </w:pPr>
      <w:r>
        <w:rPr>
          <w:b/>
        </w:rPr>
        <w:t>2</w:t>
        <w:t xml:space="preserve">.  </w:t>
      </w:r>
      <w:r>
        <w:rPr>
          <w:b/>
        </w:rPr>
      </w:r>
      <w:r>
        <w:t xml:space="preserve"> </w:t>
      </w:r>
      <w:r>
        <w:t xml:space="preserve">This section imposes no liability on the owner or personnel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loan broker shall include its license number in all print advertising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§10-304.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§10-304.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