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1018</w:t>
        <w:t xml:space="preserve">.  </w:t>
      </w:r>
      <w:r>
        <w:rPr>
          <w:b/>
        </w:rPr>
        <w:t xml:space="preserve">Exclusion</w:t>
      </w:r>
    </w:p>
    <w:p>
      <w:pPr>
        <w:jc w:val="both"/>
        <w:spacing w:before="100" w:after="100"/>
        <w:ind w:start="360"/>
        <w:ind w:firstLine="360"/>
      </w:pPr>
      <w:r>
        <w:rPr/>
      </w:r>
      <w:r>
        <w:rPr/>
      </w:r>
      <w:r>
        <w:t xml:space="preserve">The superintendent may exclude financial institution holding companies or other companies from the provisions of this chapter when control of a Maine financial institution arises out of the acquisition of shares in a fiduciary capacity, or in connection with an underwriting of securities or proxy solicitation, or in securing or collecting a debt.  When control of a Maine financial institution arises in connection with securing or collecting a debt, the acquiring institution or company may be excluded from the provisions of this chapter if the acquiring institution or company divests the securities within 2 years of acquisition.  The superintendent may grant requests for up to 3 one-year extensions.</w:t>
      </w:r>
      <w:r>
        <w:t xml:space="preserve">  </w:t>
      </w:r>
      <w:r xmlns:wp="http://schemas.openxmlformats.org/drawingml/2010/wordprocessingDrawing" xmlns:w15="http://schemas.microsoft.com/office/word/2012/wordml">
        <w:rPr>
          <w:rFonts w:ascii="Arial" w:hAnsi="Arial" w:cs="Arial"/>
          <w:sz w:val="22"/>
          <w:szCs w:val="22"/>
        </w:rPr>
        <w:t xml:space="preserve">[PL 1993, c. 538,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1993, c. 538,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§1018. Exclusion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§1018. Exclusion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§1018. EXCLUSION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