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Dividends, distributions and withdrawals</w:t>
      </w:r>
    </w:p>
    <w:p>
      <w:pPr>
        <w:jc w:val="both"/>
        <w:spacing w:before="100" w:after="0"/>
        <w:ind w:start="360"/>
        <w:ind w:firstLine="360"/>
      </w:pPr>
      <w:r>
        <w:rPr>
          <w:b/>
        </w:rPr>
        <w:t>1</w:t>
        <w:t xml:space="preserve">.  </w:t>
      </w:r>
      <w:r>
        <w:rPr>
          <w:b/>
        </w:rPr>
        <w:t xml:space="preserve">Limitation.</w:t>
        <w:t xml:space="preserve"> </w:t>
      </w:r>
      <w:r>
        <w:t xml:space="preserve"> </w:t>
      </w:r>
      <w:r>
        <w:t xml:space="preserve">A financial institution organized pursuant to this chapter may not authorize dividends, distributions or withdrawals that reduce capital below the higher of the amount required under the certificate of public convenience and advantage or </w:t>
      </w:r>
      <w:r>
        <w:t>section 412‑A</w:t>
      </w:r>
      <w:r>
        <w:t xml:space="preserve">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Form.</w:t>
        <w:t xml:space="preserve"> </w:t>
      </w:r>
      <w:r>
        <w:t xml:space="preserve"> </w:t>
      </w:r>
      <w:r>
        <w:t xml:space="preserve">Dividends, distributions and withdrawals must be in cash or in additional shares, members' interests or partnership interests unless otherwise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Dividends, distributions and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Dividends, distributions and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§318. DIVIDENDS, DISTRIBUTIONS AND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