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§1014. VIOLATIONS OF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