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State dessert</w:t>
      </w:r>
    </w:p>
    <w:p>
      <w:pPr>
        <w:jc w:val="both"/>
        <w:spacing w:before="100" w:after="100"/>
        <w:ind w:start="360"/>
        <w:ind w:firstLine="360"/>
      </w:pPr>
      <w:r>
        <w:rPr/>
      </w:r>
      <w:r>
        <w:rPr/>
      </w:r>
      <w:r>
        <w:t xml:space="preserve">Blueberry pie, made with wild Maine blueberries, is the official state dessert.</w:t>
      </w:r>
      <w:r>
        <w:t xml:space="preserve">  </w:t>
      </w:r>
      <w:r xmlns:wp="http://schemas.openxmlformats.org/drawingml/2010/wordprocessingDrawing" xmlns:w15="http://schemas.microsoft.com/office/word/2012/wordml">
        <w:rPr>
          <w:rFonts w:ascii="Arial" w:hAnsi="Arial" w:cs="Arial"/>
          <w:sz w:val="22"/>
          <w:szCs w:val="22"/>
        </w:rPr>
        <w:t xml:space="preserve">[PL 2011, c. 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§226. State dessert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State dessert</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§226. STATE DESSERT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