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§353. EXPLANATION OF PROPOSED AMENDMENTS AND STATEWIDE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