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Supplements as part of Revised Statutes</w:t>
      </w:r>
    </w:p>
    <w:p>
      <w:pPr>
        <w:jc w:val="both"/>
        <w:spacing w:before="100" w:after="100"/>
        <w:ind w:start="360"/>
        <w:ind w:firstLine="360"/>
      </w:pPr>
      <w:r>
        <w:rPr/>
      </w:r>
      <w:r>
        <w:rPr/>
      </w:r>
      <w:r>
        <w:t xml:space="preserve">The laws contained in any current pocket parts or supplements to the Revised Statutes, printed and published hereafter under contract or otherwise as may be authorized by law, shall constitute, prima facie, a part of the Revised Statutes if such laws, as so contained, purport to represent reproduction of statutory amendments of the Revised Statutes, as stated in accompanying notes thereto and are so certified by the Secretary of State. If any such pocket parts or supplements are printed and published on a cumulative basis, then only such laws contained in the latest publication thereof shall constitute, prima facie, a part of the Revised Statutes.</w:t>
      </w:r>
      <w:r>
        <w:t xml:space="preserve">  </w:t>
      </w:r>
      <w:r xmlns:wp="http://schemas.openxmlformats.org/drawingml/2010/wordprocessingDrawing" xmlns:w15="http://schemas.microsoft.com/office/word/2012/wordml">
        <w:rPr>
          <w:rFonts w:ascii="Arial" w:hAnsi="Arial" w:cs="Arial"/>
          <w:sz w:val="22"/>
          <w:szCs w:val="22"/>
        </w:rPr>
        <w:t xml:space="preserve">[PL 1965, c. 425,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§362. Supplements as part of Revised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Supplements as part of Revised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§362. SUPPLEMENTS AS PART OF REVISED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