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MONOPOLIES AND PROFITEERING</w:t>
      </w:r>
    </w:p>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is entitled to recover 3 times the amount of the damages sustained and cost of suit, including necessary and reasonable investigative costs, reasonable experts' fees and reasonable attorney's fees.  The State may recover equitable monetary relief, including restitution and disgorgement.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§1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$250,000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§2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PL 2023, c. 538, §§1, 2 (AMD). </w:t>
      </w:r>
    </w:p>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human-made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[RR 2023, c. 2, Pt. C, §13 (COR).]</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§13 (COR).]</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RR 2023, c. 2, Pt. C, §13 (COR). </w:t>
      </w:r>
    </w:p>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90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§3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$50,000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PL 2023, c. 538, §§3, 4 (AMD). </w:t>
      </w:r>
    </w:p>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MONOPOLIES AND PROFITEERING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MONOPOLIES AND PROFITEERING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201. MONOPOLIES AND PROFITEERING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