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223-A</w:t>
      </w:r>
    </w:p>
    <w:p>
      <w:pPr>
        <w:jc w:val="center"/>
        <w:ind w:start="360"/>
        <w:spacing w:before="300" w:after="300"/>
      </w:pPr>
      <w:r>
        <w:rPr>
          <w:b/>
        </w:rPr>
        <w:t xml:space="preserve">CELLULAR TELEPHONE CUSTOMER PRIVACY ACT</w:t>
      </w:r>
    </w:p>
    <w:p>
      <w:pPr>
        <w:jc w:val="both"/>
        <w:spacing w:before="100" w:after="100"/>
        <w:ind w:start="1080" w:hanging="720"/>
      </w:pPr>
      <w:r>
        <w:rPr>
          <w:b/>
        </w:rPr>
        <w:t>§</w:t>
        <w:t>1496-A</w:t>
        <w:t xml:space="preserve">.  </w:t>
      </w:r>
      <w:r>
        <w:rPr>
          <w:b/>
        </w:rPr>
        <w:t xml:space="preserve">Short title</w:t>
      </w:r>
    </w:p>
    <w:p>
      <w:pPr>
        <w:jc w:val="both"/>
        <w:spacing w:before="100" w:after="100"/>
        <w:ind w:start="360"/>
        <w:ind w:firstLine="360"/>
      </w:pPr>
      <w:r>
        <w:rPr/>
      </w:r>
      <w:r>
        <w:rPr/>
      </w:r>
      <w:r>
        <w:t xml:space="preserve">This chapter may be known and cited as "the Cellular Telephone Customer Privacy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223-A. CELLULAR TELEPHONE CUSTOMER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223-A. CELLULAR TELEPHONE CUSTOMER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