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ASSISTIVE DEVICES FOR PERSONS WITH DISABILITIES</w:t>
      </w:r>
    </w:p>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227. ASSISTIVE DEVICES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ASSISTIVE DEVICES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227. ASSISTIVE DEVICES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