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UNIFORM TRADE SECRETS ACT</w:t>
      </w:r>
    </w:p>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Disclosure or use of a trade secret of another without express or implied consent by a person who:</w:t>
      </w:r>
    </w:p>
    <w:p>
      <w:pPr>
        <w:jc w:val="both"/>
        <w:spacing w:before="100" w:after="0"/>
        <w:ind w:start="1080"/>
      </w:pPr>
      <w:r>
        <w:rPr/>
        <w:t>(</w:t>
        <w:t>1</w:t>
        <w:t xml:space="preserve">)  </w:t>
      </w:r>
      <w:r>
        <w:rPr/>
      </w:r>
      <w:r>
        <w:t xml:space="preserve">Used improper means to acquire knowledge of the trade secret;</w:t>
      </w:r>
    </w:p>
    <w:p>
      <w:pPr>
        <w:jc w:val="both"/>
        <w:spacing w:before="100" w:after="0"/>
        <w:ind w:start="1080"/>
      </w:pPr>
      <w:r>
        <w:rPr/>
        <w:t>(</w:t>
        <w:t>2</w:t>
        <w:t xml:space="preserve">)  </w:t>
      </w:r>
      <w:r>
        <w:rPr/>
      </w:r>
      <w:r>
        <w:t xml:space="preserve">At the time of disclosure or use, knew or had reason to know that the person's knowledge of the trade secret was:</w:t>
      </w:r>
    </w:p>
    <w:p>
      <w:pPr>
        <w:jc w:val="both"/>
        <w:spacing w:before="100" w:after="0"/>
        <w:ind w:start="1440"/>
      </w:pPr>
      <w:r>
        <w:rPr/>
        <w:t>(</w:t>
        <w:t>i</w:t>
        <w:t xml:space="preserve">)  </w:t>
      </w:r>
      <w:r>
        <w:rPr/>
      </w:r>
      <w:r>
        <w:t xml:space="preserve">Derived from or through a person who had utilized improper means to acquire it;</w:t>
      </w:r>
    </w:p>
    <w:p>
      <w:pPr>
        <w:jc w:val="both"/>
        <w:spacing w:before="100" w:after="0"/>
        <w:ind w:start="1440"/>
      </w:pPr>
      <w:r>
        <w:rPr/>
        <w:t>(</w:t>
        <w:t>ii</w:t>
        <w:t xml:space="preserve">)  </w:t>
      </w:r>
      <w:r>
        <w:rPr/>
      </w:r>
      <w:r>
        <w:t xml:space="preserve">Acquired under circumstances giving rise to a duty to maintain its secrecy or limit its use; or</w:t>
      </w:r>
    </w:p>
    <w:p>
      <w:pPr>
        <w:jc w:val="both"/>
        <w:spacing w:before="100" w:after="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0"/>
        <w:ind w:start="1080"/>
      </w:pPr>
      <w:r>
        <w:rPr/>
        <w:t>(</w:t>
        <w:t>3</w:t>
        <w:t xml:space="preserve">)  </w:t>
      </w:r>
      <w:r>
        <w:rPr/>
      </w:r>
      <w:r>
        <w:t xml:space="preserve">Before a material change of the person's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[RR 2023, c. 2, Pt. C, §§43,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§§43, 44 (COR).]</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RR 2023, c. 2, Pt. C, §§43, 44 (COR). </w:t>
      </w:r>
    </w:p>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302. UNIFORM TRADE SECRETS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UNIFORM TRADE SECRETS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302. UNIFORM TRADE SECRETS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