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may approve or disapprove projects and issue certificates of approval upon application by municipalities proposing to issue revenue obligation securities under this subchapter. The authority shall publish, once in the state newspaper and in a newspaper of general circulation in the municipality in which the project is to be located, notice of the date on which the authority will consider the application. The notice shall be published at least 7 days prior to the date scheduled for such consideration, shall set forth the name of the municipality and the proposed user of the project,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§81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§82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§34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energy generating system, energy distribution system, industrial-commercial project, water supply system or recreational facility existing in the State, there is a clear economic justification for the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For all revenue obligation securities in excess of $1,000,000 and in other instances when the authority determines it is appropriate, the Department of Environmental Protection has provided a written assessment to the authority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537, §52 (RPR); PL 2003, c. 537, §53 (AFF).]</w:t>
      </w:r>
    </w:p>
    <w:p>
      <w:pPr>
        <w:jc w:val="both"/>
        <w:spacing w:before="100" w:after="0"/>
        <w:ind w:start="720"/>
      </w:pPr>
      <w:r>
        <w:rPr/>
        <w:t>F</w:t>
        <w:t xml:space="preserve">.  </w:t>
      </w:r>
      <w:r>
        <w:rPr/>
      </w:r>
      <w:r>
        <w:t xml:space="preserve">In the case of projects including pollution-control facilities:</w:t>
      </w:r>
    </w:p>
    <w:p>
      <w:pPr>
        <w:jc w:val="both"/>
        <w:spacing w:before="100" w:after="0"/>
        <w:ind w:start="1080"/>
      </w:pPr>
      <w:r>
        <w:rPr/>
        <w:t>(</w:t>
        <w:t>1</w:t>
        <w:t xml:space="preserve">)  </w:t>
      </w:r>
      <w:r>
        <w:rPr/>
      </w:r>
      <w:r>
        <w:t xml:space="preserve">The proposed users of the facilities make a significant contribution to the economy of the State;</w:t>
      </w:r>
    </w:p>
    <w:p>
      <w:pPr>
        <w:jc w:val="both"/>
        <w:spacing w:before="100" w:after="0"/>
        <w:ind w:start="1080"/>
      </w:pPr>
      <w:r>
        <w:rPr/>
        <w:t>(</w:t>
        <w:t>2</w:t>
        <w:t xml:space="preserve">)  </w:t>
      </w:r>
      <w:r>
        <w:rPr/>
      </w:r>
      <w:r>
        <w:t xml:space="preserve">A substantial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reasonable foreseeable future;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§84 (RP).]</w:t>
      </w:r>
    </w:p>
    <w:p>
      <w:pPr>
        <w:jc w:val="both"/>
        <w:spacing w:before="100" w:after="0"/>
        <w:ind w:start="720"/>
      </w:pPr>
      <w:r>
        <w:rPr/>
        <w:t>H</w:t>
        <w:t xml:space="preserve">.  </w:t>
      </w:r>
      <w:r>
        <w:rPr/>
      </w:r>
      <w:r>
        <w:t xml:space="preserve">In the case of water supply system projects:</w:t>
      </w:r>
    </w:p>
    <w:p>
      <w:pPr>
        <w:jc w:val="both"/>
        <w:spacing w:before="100" w:after="0"/>
        <w:ind w:start="1080"/>
      </w:pPr>
      <w:r>
        <w:rPr/>
        <w:t>(</w:t>
        <w:t>1</w:t>
        <w:t xml:space="preserve">)  </w:t>
      </w:r>
      <w:r>
        <w:rPr/>
      </w:r>
      <w:r>
        <w:t xml:space="preserve">That the project will result in substantial public benefits;</w:t>
      </w:r>
    </w:p>
    <w:p>
      <w:pPr>
        <w:jc w:val="both"/>
        <w:spacing w:before="100" w:after="0"/>
        <w:ind w:start="1080"/>
      </w:pPr>
      <w:r>
        <w:rPr/>
        <w:t>(</w:t>
        <w:t>2</w:t>
        <w:t xml:space="preserve">)  </w:t>
      </w:r>
      <w:r>
        <w:rPr/>
      </w:r>
      <w:r>
        <w:t xml:space="preserve">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 and</w:t>
      </w:r>
    </w:p>
    <w:p>
      <w:pPr>
        <w:jc w:val="both"/>
        <w:spacing w:before="100" w:after="0"/>
        <w:ind w:start="1080"/>
      </w:pPr>
      <w:r>
        <w:rPr/>
        <w:t>(</w:t>
        <w:t>3</w:t>
        <w:t xml:space="preserve">)  </w:t>
      </w:r>
      <w:r>
        <w:rPr/>
      </w:r>
      <w:r>
        <w:t xml:space="preserve">The Public Utilities Commission and the Department of Health and Human Services have certified that all permits, licenses and approvals required from those departments have been issued or granted or that none are required, and until a location permit from the applicable licensing authority has been issued or it is determined that none is required. Any subsequent enlargement of or addition to the project, for which approval is sought from the authority, shall also require certification by the Public Utilities Commission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B, §8 (AMD); PL 2003, c. 689, Pt. B, §6 (REV).]</w:t>
      </w:r>
    </w:p>
    <w:p>
      <w:pPr>
        <w:jc w:val="both"/>
        <w:spacing w:before="100" w:after="0"/>
        <w:ind w:start="720"/>
      </w:pPr>
      <w:r>
        <w:rPr/>
        <w:t>I</w:t>
        <w:t xml:space="preserve">.  </w:t>
      </w:r>
      <w:r>
        <w:rPr/>
      </w:r>
      <w:r>
        <w:t xml:space="preserve">In the case of an energy generating system project or energy distribution project which is intended to produce or distribute energy for sale to any person, municipality, firm, corporation or the State 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§8 (AMD).]</w:t>
      </w:r>
    </w:p>
    <w:p>
      <w:pPr>
        <w:jc w:val="both"/>
        <w:spacing w:before="100" w:after="0"/>
        <w:ind w:start="720"/>
      </w:pPr>
      <w:r>
        <w:rPr/>
        <w:t>I-1</w:t>
        <w:t xml:space="preserve">.  </w:t>
      </w:r>
      <w:r>
        <w:rPr/>
      </w:r>
      <w:r>
        <w:t xml:space="preserve">In the case of recycling and waste reduction projects, the proposed facility is consistent with and will contribute to the management goals and objectives outlined in the state waste management and recycling plan under </w:t>
      </w:r>
      <w:r>
        <w:t>Title 38, chapter 24</w:t>
      </w:r>
      <w:r>
        <w:t xml:space="preserve"> and will reduce the amount of solid or hazardous waste requiring disposal.  The Department of Environmental Protection shall provide assistance to the authority in determining consistency, technical eligibility and merit of applications for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2021, c. 676, Pt. D, §1 (AMD).]</w:t>
      </w:r>
    </w:p>
    <w:p>
      <w:pPr>
        <w:jc w:val="both"/>
        <w:spacing w:before="100" w:after="0"/>
        <w:ind w:start="720"/>
      </w:pPr>
      <w:r>
        <w:rPr/>
        <w:t>J</w:t>
        <w:t xml:space="preserve">.  </w:t>
      </w:r>
      <w:r>
        <w:rPr/>
      </w:r>
      <w:r>
        <w:t xml:space="preserve">In the case of an energy generating system, an energy distribution system or an industrial-commercial project, any of which includes hydroelectric facilities deemed necessary for the production of electricity:</w:t>
      </w:r>
    </w:p>
    <w:p>
      <w:pPr>
        <w:jc w:val="both"/>
        <w:spacing w:before="100" w:after="0"/>
        <w:ind w:start="1080"/>
      </w:pPr>
      <w:r>
        <w:rPr/>
        <w:t>(</w:t>
        <w:t>1</w:t>
        <w:t xml:space="preserve">)  </w:t>
      </w:r>
      <w:r>
        <w:rPr/>
      </w:r>
      <w:r>
        <w:t xml:space="preserve">The Public Utilities Commission has certified that all required licenses have been issued or that none are required; and</w:t>
      </w:r>
    </w:p>
    <w:p>
      <w:pPr>
        <w:jc w:val="both"/>
        <w:spacing w:before="100" w:after="0"/>
        <w:ind w:start="1080"/>
      </w:pPr>
      <w:r>
        <w:rPr/>
        <w:t>(</w:t>
        <w:t>2</w:t>
        <w:t xml:space="preserve">)  </w:t>
      </w:r>
      <w:r>
        <w:rPr/>
      </w:r>
      <w:r>
        <w:t xml:space="preserve">The Director of the Office of Policy Innovation and the Future has reviewed and commented upon the project proposal. The Director of the Office of Policy Innovation and the Future shall make comments within 30 days after receipt of a notification and copy of the project proposal from the authority. The authority shall take the comments into consideration in its consideration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676, Pt. D,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676,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D, §§1-3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§67 (AMD). PL 1985, c. 344, §§81-84 (AMD). PL 1985, c. 714, §§34,35 (AMD). PL 1987, c. 141, §B8 (AMD). PL 1989, c. 501, §DD20 (AMD). PL 1989, c. 546, §1 (AMD). PL 1989, c. 585, §§C13,C14 (AMD). PL 1989, c. 878, §A28 (AMD). PL 1995, c. 656, §A4 (AMD). PL 2003, c. 537, §52 (AMD). PL 2003, c. 537, §53 (AFF). PL 2003, c. 689, §B6 (REV). PL 2011, c. 655, Pt. EE, §15 (AMD). PL 2011, c. 655, Pt. EE, §30 (AFF). PL 2011, c. 655, Pt. GG, §6 (AMD). PL 2011, c. 655, Pt. GG, §70 (AFF). PL 2021, c. 293, Pt. A, §52 (REV). PL 2021, c. 676,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§1063.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§1063.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