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pay obligations incurred by the storage of a boat, boat motor or boat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 marina, boatyard or marine repair facility that provides, as part of its commercial operation, the storage of boats, boat motors or boat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Lienholder.</w:t>
        <w:t xml:space="preserve"> </w:t>
      </w:r>
      <w:r>
        <w:t xml:space="preserve"> </w:t>
      </w:r>
      <w:r>
        <w:t xml:space="preserve">"Lienholder" or "lienholder of record" means a person who claims an interest in or lien on the property pursuant to a financing statement filed with the Secretary of State or other public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 boat, boat motor or boat trailer in storage at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